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Helvetica"/>
          <w:b/>
          <w:color w:val="FF0000"/>
          <w:sz w:val="68"/>
          <w:szCs w:val="52"/>
        </w:rPr>
      </w:pPr>
      <w:r>
        <w:rPr>
          <w:rFonts w:ascii="宋体" w:hAnsi="宋体" w:cs="Helvetica"/>
          <w:b/>
          <w:color w:val="FF0000"/>
          <w:sz w:val="68"/>
          <w:szCs w:val="52"/>
        </w:rPr>
        <w:t>西南财经大学天府学院</w:t>
      </w:r>
      <w:r>
        <w:rPr>
          <w:rFonts w:hint="eastAsia" w:ascii="宋体" w:hAnsi="宋体" w:cs="Helvetica"/>
          <w:b/>
          <w:color w:val="FF0000"/>
          <w:sz w:val="68"/>
          <w:szCs w:val="52"/>
        </w:rPr>
        <w:t>文件</w:t>
      </w:r>
    </w:p>
    <w:p>
      <w:pPr>
        <w:widowControl/>
        <w:spacing w:after="150" w:line="276" w:lineRule="auto"/>
        <w:jc w:val="center"/>
        <w:textAlignment w:val="top"/>
        <w:rPr>
          <w:rFonts w:ascii="宋体" w:hAnsi="宋体" w:cs="Helvetica"/>
          <w:color w:val="000000"/>
          <w:kern w:val="0"/>
          <w:sz w:val="24"/>
          <w:szCs w:val="24"/>
        </w:rPr>
      </w:pPr>
    </w:p>
    <w:p>
      <w:pPr>
        <w:widowControl/>
        <w:spacing w:after="150" w:line="276" w:lineRule="auto"/>
        <w:jc w:val="center"/>
        <w:textAlignment w:val="top"/>
        <w:rPr>
          <w:rFonts w:ascii="宋体" w:hAnsi="宋体" w:cs="Helvetica"/>
          <w:color w:val="000000"/>
          <w:kern w:val="0"/>
          <w:sz w:val="24"/>
          <w:szCs w:val="24"/>
        </w:rPr>
      </w:pPr>
      <w:r>
        <w:rPr>
          <w:rFonts w:hint="eastAsia" w:ascii="宋体" w:hAnsi="宋体" w:cs="Helvetica"/>
          <w:color w:val="000000"/>
          <w:kern w:val="0"/>
          <w:sz w:val="24"/>
          <w:szCs w:val="24"/>
        </w:rPr>
        <w:t>天府人力﹝2</w:t>
      </w:r>
      <w:r>
        <w:rPr>
          <w:rFonts w:ascii="宋体" w:hAnsi="宋体" w:cs="Helvetica"/>
          <w:color w:val="000000"/>
          <w:kern w:val="0"/>
          <w:sz w:val="24"/>
          <w:szCs w:val="24"/>
        </w:rPr>
        <w:t>02</w:t>
      </w:r>
      <w:r>
        <w:rPr>
          <w:rFonts w:hint="eastAsia" w:ascii="宋体" w:hAnsi="宋体" w:cs="Helvetica"/>
          <w:color w:val="000000"/>
          <w:kern w:val="0"/>
          <w:sz w:val="24"/>
          <w:szCs w:val="24"/>
        </w:rPr>
        <w:t>2﹞</w:t>
      </w:r>
      <w:r>
        <w:rPr>
          <w:rFonts w:hint="eastAsia" w:ascii="宋体" w:hAnsi="宋体" w:cs="Helvetica"/>
          <w:color w:val="000000"/>
          <w:kern w:val="0"/>
          <w:sz w:val="24"/>
          <w:szCs w:val="24"/>
          <w:lang w:val="en-US" w:eastAsia="zh-CN"/>
        </w:rPr>
        <w:t>17</w:t>
      </w:r>
      <w:r>
        <w:rPr>
          <w:rFonts w:hint="eastAsia" w:ascii="宋体" w:hAnsi="宋体" w:cs="Helvetica"/>
          <w:color w:val="000000"/>
          <w:kern w:val="0"/>
          <w:sz w:val="24"/>
          <w:szCs w:val="24"/>
        </w:rPr>
        <w:t>号</w:t>
      </w:r>
    </w:p>
    <w:p>
      <w:pPr>
        <w:widowControl/>
        <w:spacing w:after="150" w:line="276" w:lineRule="auto"/>
        <w:textAlignment w:val="top"/>
        <w:rPr>
          <w:rFonts w:ascii="宋体" w:hAnsi="宋体" w:cs="Helvetica"/>
          <w:color w:val="000000"/>
          <w:kern w:val="0"/>
          <w:sz w:val="24"/>
          <w:szCs w:val="24"/>
        </w:rPr>
      </w:pPr>
      <w:r>
        <w:rPr>
          <w:rFonts w:ascii="宋体" w:hAnsi="宋体" w:eastAsia="宋体" w:cs="Helvetica"/>
          <w:color w:val="000000"/>
          <w:kern w:val="0"/>
          <w:sz w:val="24"/>
          <w:szCs w:val="24"/>
          <w:lang w:val="en-US" w:eastAsia="zh-CN" w:bidi="ar-SA"/>
        </w:rPr>
        <w:pict>
          <v:shape id="自选图形 4" o:spid="_x0000_s1026" type="#_x0000_t32" style="position:absolute;left:0;margin-left:1.5pt;margin-top:9.55pt;height:0.05pt;width:409.5pt;rotation:0f;z-index:251658240;" o:ole="f" fillcolor="#FFFFFF" filled="t" o:preferrelative="t" stroked="t" coordorigin="0,0" coordsize="21600,21600">
            <v:stroke weight="2.25pt" color="#FF0000" color2="#FFFFFF" miterlimit="2"/>
            <v:imagedata gain="65536f" blacklevel="0f" gamma="0"/>
            <o:lock v:ext="edit" position="f" selection="f" grouping="f" rotation="f" cropping="f" text="f" aspectratio="f"/>
          </v:shape>
        </w:pict>
      </w:r>
    </w:p>
    <w:p>
      <w:pPr>
        <w:widowControl/>
        <w:spacing w:line="360" w:lineRule="auto"/>
        <w:jc w:val="center"/>
        <w:textAlignment w:val="top"/>
        <w:rPr>
          <w:rFonts w:ascii="宋体" w:hAnsi="宋体" w:eastAsia="宋体" w:cs="Helvetica"/>
          <w:b/>
          <w:color w:val="000000"/>
          <w:kern w:val="0"/>
          <w:sz w:val="32"/>
          <w:szCs w:val="32"/>
        </w:rPr>
      </w:pPr>
      <w:r>
        <w:rPr>
          <w:rFonts w:hint="eastAsia" w:ascii="宋体" w:hAnsi="宋体" w:eastAsia="宋体" w:cs="Helvetica"/>
          <w:b/>
          <w:color w:val="000000"/>
          <w:kern w:val="0"/>
          <w:sz w:val="32"/>
          <w:szCs w:val="32"/>
        </w:rPr>
        <w:t>西南财经大学天府学院</w:t>
      </w:r>
    </w:p>
    <w:p>
      <w:pPr>
        <w:pStyle w:val="7"/>
        <w:widowControl/>
        <w:spacing w:line="480" w:lineRule="atLeast"/>
        <w:ind w:left="0" w:firstLine="0"/>
        <w:jc w:val="center"/>
        <w:rPr>
          <w:rFonts w:ascii="仿宋" w:hAnsi="仿宋" w:eastAsia="仿宋" w:cs="Helvetica"/>
          <w:b/>
          <w:color w:val="000000"/>
          <w:kern w:val="0"/>
          <w:sz w:val="28"/>
          <w:szCs w:val="28"/>
        </w:rPr>
      </w:pPr>
      <w:r>
        <w:rPr>
          <w:rFonts w:hint="default" w:ascii="宋体" w:hAnsi="宋体" w:eastAsia="宋体" w:cs="Helvetica"/>
          <w:b/>
          <w:color w:val="000000"/>
          <w:kern w:val="0"/>
          <w:sz w:val="32"/>
          <w:szCs w:val="32"/>
          <w:lang w:val="en-US" w:eastAsia="zh-CN" w:bidi="ar-SA"/>
        </w:rPr>
        <w:t>关于组织开展20</w:t>
      </w:r>
      <w:r>
        <w:rPr>
          <w:rFonts w:hint="eastAsia" w:ascii="宋体" w:hAnsi="宋体" w:eastAsia="宋体" w:cs="Helvetica"/>
          <w:b/>
          <w:color w:val="000000"/>
          <w:kern w:val="0"/>
          <w:sz w:val="32"/>
          <w:szCs w:val="32"/>
          <w:lang w:val="en-US" w:eastAsia="zh-CN" w:bidi="ar-SA"/>
        </w:rPr>
        <w:t>22</w:t>
      </w:r>
      <w:r>
        <w:rPr>
          <w:rFonts w:hint="default" w:ascii="宋体" w:hAnsi="宋体" w:eastAsia="宋体" w:cs="Helvetica"/>
          <w:b/>
          <w:color w:val="000000"/>
          <w:kern w:val="0"/>
          <w:sz w:val="32"/>
          <w:szCs w:val="32"/>
          <w:lang w:val="en-US" w:eastAsia="zh-CN" w:bidi="ar-SA"/>
        </w:rPr>
        <w:t>年新教师培训返岗教研有关工作的通知</w:t>
      </w:r>
    </w:p>
    <w:p>
      <w:pPr>
        <w:spacing w:line="360" w:lineRule="auto"/>
        <w:rPr>
          <w:rFonts w:hint="default" w:ascii="宋体" w:hAnsi="宋体"/>
          <w:color w:val="000000"/>
          <w:sz w:val="28"/>
          <w:szCs w:val="28"/>
        </w:rPr>
      </w:pPr>
      <w:r>
        <w:rPr>
          <w:rFonts w:hint="eastAsia" w:ascii="宋体" w:hAnsi="宋体"/>
          <w:color w:val="000000"/>
          <w:sz w:val="28"/>
          <w:szCs w:val="28"/>
        </w:rPr>
        <w:t>各位教职工：</w:t>
      </w:r>
    </w:p>
    <w:p>
      <w:pPr>
        <w:spacing w:line="360" w:lineRule="auto"/>
        <w:ind w:firstLine="560" w:firstLineChars="200"/>
        <w:rPr>
          <w:rFonts w:hint="default" w:ascii="宋体" w:hAnsi="宋体"/>
          <w:color w:val="000000"/>
          <w:sz w:val="28"/>
          <w:szCs w:val="28"/>
        </w:rPr>
      </w:pPr>
      <w:r>
        <w:rPr>
          <w:rFonts w:hint="eastAsia" w:ascii="宋体" w:hAnsi="宋体"/>
          <w:color w:val="000000"/>
          <w:sz w:val="28"/>
          <w:szCs w:val="28"/>
        </w:rPr>
        <w:t>四川省高校师资培训中心组织的202</w:t>
      </w:r>
      <w:r>
        <w:rPr>
          <w:rFonts w:hint="eastAsia" w:ascii="宋体" w:hAnsi="宋体"/>
          <w:color w:val="000000"/>
          <w:sz w:val="28"/>
          <w:szCs w:val="28"/>
          <w:lang w:val="en-US" w:eastAsia="zh-CN"/>
        </w:rPr>
        <w:t>2</w:t>
      </w:r>
      <w:r>
        <w:rPr>
          <w:rFonts w:hint="eastAsia" w:ascii="宋体" w:hAnsi="宋体"/>
          <w:color w:val="000000"/>
          <w:sz w:val="28"/>
          <w:szCs w:val="28"/>
        </w:rPr>
        <w:t>年新入职教师职业技能培训，采取“集中培训（线上同步培训）+线上学习（网络拓展学习）+返岗教研”相结合的混合型培训，以专家讲授为基础, 导师指导为重点，拓展学习为辅助，返岗教研为延伸。现将202</w:t>
      </w:r>
      <w:r>
        <w:rPr>
          <w:rFonts w:hint="eastAsia" w:ascii="宋体" w:hAnsi="宋体"/>
          <w:color w:val="000000"/>
          <w:sz w:val="28"/>
          <w:szCs w:val="28"/>
          <w:lang w:val="en-US" w:eastAsia="zh-CN"/>
        </w:rPr>
        <w:t>2</w:t>
      </w:r>
      <w:r>
        <w:rPr>
          <w:rFonts w:hint="eastAsia" w:ascii="宋体" w:hAnsi="宋体"/>
          <w:color w:val="000000"/>
          <w:sz w:val="28"/>
          <w:szCs w:val="28"/>
        </w:rPr>
        <w:t>年高校新入职教师开展返岗教研的有关事项通知如下：</w:t>
      </w:r>
    </w:p>
    <w:p>
      <w:pPr>
        <w:spacing w:line="360" w:lineRule="auto"/>
        <w:ind w:firstLine="562" w:firstLineChars="200"/>
        <w:rPr>
          <w:rFonts w:hint="default" w:ascii="宋体" w:hAnsi="宋体" w:cs="黑体"/>
          <w:b/>
          <w:bCs/>
          <w:sz w:val="28"/>
          <w:szCs w:val="28"/>
        </w:rPr>
      </w:pPr>
      <w:r>
        <w:rPr>
          <w:rFonts w:hint="eastAsia" w:ascii="宋体" w:hAnsi="宋体" w:cs="黑体"/>
          <w:b/>
          <w:bCs/>
          <w:sz w:val="28"/>
          <w:szCs w:val="28"/>
        </w:rPr>
        <w:t>一、返岗教硏时间</w:t>
      </w:r>
    </w:p>
    <w:p>
      <w:pPr>
        <w:pStyle w:val="7"/>
        <w:widowControl/>
        <w:spacing w:line="540" w:lineRule="atLeast"/>
        <w:ind w:left="0" w:firstLine="660"/>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2022年8月至2023年1月，为期6个月。</w:t>
      </w:r>
    </w:p>
    <w:p>
      <w:pPr>
        <w:spacing w:line="360" w:lineRule="auto"/>
        <w:ind w:firstLine="562" w:firstLineChars="200"/>
        <w:rPr>
          <w:rFonts w:hint="default" w:ascii="宋体" w:hAnsi="宋体" w:cs="黑体"/>
          <w:b/>
          <w:bCs/>
          <w:sz w:val="28"/>
          <w:szCs w:val="28"/>
        </w:rPr>
      </w:pPr>
      <w:r>
        <w:rPr>
          <w:rFonts w:hint="eastAsia" w:ascii="宋体" w:hAnsi="宋体" w:cs="黑体"/>
          <w:b/>
          <w:bCs/>
          <w:sz w:val="28"/>
          <w:szCs w:val="28"/>
        </w:rPr>
        <w:t>二、返岗教研主要内容</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参训教师将集中培训期间资源带回到自己的单位，并参与到本单位教学、教研改革实践中，认真消化和吸收，深入开展总结和反思，进一步巩固和转化学习成果，实现和促进参训教师的专业成长。</w:t>
      </w:r>
    </w:p>
    <w:p>
      <w:pPr>
        <w:spacing w:line="360" w:lineRule="auto"/>
        <w:ind w:firstLine="562" w:firstLineChars="200"/>
        <w:rPr>
          <w:rFonts w:hint="default" w:ascii="宋体" w:hAnsi="宋体" w:cs="黑体"/>
          <w:b/>
          <w:bCs/>
          <w:sz w:val="28"/>
          <w:szCs w:val="28"/>
        </w:rPr>
      </w:pPr>
      <w:r>
        <w:rPr>
          <w:rFonts w:hint="eastAsia" w:ascii="宋体" w:hAnsi="宋体" w:cs="黑体"/>
          <w:b/>
          <w:bCs/>
          <w:sz w:val="28"/>
          <w:szCs w:val="28"/>
        </w:rPr>
        <w:t>三、返岗教研方式</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每位参训教师选择一位相同或相近专业教学经验丰富、具有副教授以上职称的指导教师（每位指导教师最多指导两名新教师），采取“传、帮、带”的方式助力教师教学能力和专业能力提升，并对所带教师的教育教学提供针对性指导和过程性评价。</w:t>
      </w:r>
    </w:p>
    <w:p>
      <w:pPr>
        <w:spacing w:line="360" w:lineRule="auto"/>
        <w:ind w:firstLine="562" w:firstLineChars="200"/>
        <w:rPr>
          <w:rFonts w:hint="default" w:ascii="宋体" w:hAnsi="宋体" w:cs="黑体"/>
          <w:b/>
          <w:bCs/>
          <w:sz w:val="28"/>
          <w:szCs w:val="28"/>
        </w:rPr>
      </w:pPr>
      <w:r>
        <w:rPr>
          <w:rFonts w:hint="eastAsia" w:ascii="宋体" w:hAnsi="宋体" w:cs="黑体"/>
          <w:b/>
          <w:bCs/>
          <w:sz w:val="28"/>
          <w:szCs w:val="28"/>
        </w:rPr>
        <w:t>四、返岗教研主要任务</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参训教师在返岗教研期间，围绕以下五项教研任务清单，完成返岗教研。</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1.完成教学日志：返岗教研期间，每个参训教师对自己的任教课程做好教学日志记录并提交其中两周以上的教学日志。</w:t>
      </w:r>
      <w:bookmarkStart w:id="0" w:name="bookmark10"/>
      <w:bookmarkEnd w:id="0"/>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2.上一节公开课：做好岗位示范，在所在单位上一节公开示范课，要求完整录像，提交教案、录像素材、照片及指导教师详细评价。</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3.撰写一篇教学研究文章：要求贴近学生、贴近课堂，体现教育教学规律，重点呈现对教学过程的独到见解与反思，能够给自己和他人的教学工作提供借鉴。</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4.组织一次教研活动：联系本単位教研室或学科负责人， 组织一次主题教研活动，要求提交一份完整的教研活动计划、教研活动内容及教研活动图片。</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5.设计一件微课作品：要求选择有代表性或典型的主题，目标旨在培养既能解决问题或传播知识点，设计构思新颖，不拘泥于传统教学模式，启发引导性强；视频在5到10分钟之间；提交材料包括，微课视频、教案、习题、课件（PPT）；微课视频统一按MP4格式提交。</w:t>
      </w:r>
    </w:p>
    <w:p>
      <w:pPr>
        <w:pStyle w:val="7"/>
        <w:widowControl/>
        <w:spacing w:line="540" w:lineRule="atLeast"/>
        <w:ind w:left="0" w:firstLine="615"/>
        <w:rPr>
          <w:rFonts w:hint="default"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t>五、有关要求</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default" w:ascii="宋体" w:hAnsi="宋体" w:eastAsia="宋体" w:cs="黑体"/>
          <w:color w:val="000000"/>
          <w:kern w:val="2"/>
          <w:sz w:val="28"/>
          <w:szCs w:val="28"/>
          <w:lang w:val="en-US" w:eastAsia="zh-CN" w:bidi="ar-SA"/>
        </w:rPr>
        <w:t>1.</w:t>
      </w:r>
      <w:r>
        <w:rPr>
          <w:rFonts w:hint="eastAsia" w:ascii="宋体" w:hAnsi="宋体" w:eastAsia="宋体" w:cs="黑体"/>
          <w:color w:val="000000"/>
          <w:kern w:val="2"/>
          <w:sz w:val="28"/>
          <w:szCs w:val="28"/>
          <w:lang w:val="en-US" w:eastAsia="zh-CN" w:bidi="ar-SA"/>
        </w:rPr>
        <w:t>为加强对返岗教研工作的管理和指导，四川省高校师资培训中心将成立返岗教研工作领导小组，在返岗教研期间或结束后采取到校座谈、随堂听课和随机走访等方式对返岗教研过程进行检查和督导。</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default" w:ascii="宋体" w:hAnsi="宋体" w:eastAsia="宋体" w:cs="黑体"/>
          <w:color w:val="000000"/>
          <w:kern w:val="2"/>
          <w:sz w:val="28"/>
          <w:szCs w:val="28"/>
          <w:lang w:val="en-US" w:eastAsia="zh-CN" w:bidi="ar-SA"/>
        </w:rPr>
        <w:t>2.</w:t>
      </w:r>
      <w:r>
        <w:rPr>
          <w:rFonts w:hint="eastAsia" w:ascii="宋体" w:hAnsi="宋体" w:eastAsia="宋体" w:cs="黑体"/>
          <w:color w:val="000000"/>
          <w:kern w:val="2"/>
          <w:sz w:val="28"/>
          <w:szCs w:val="28"/>
          <w:lang w:val="en-US" w:eastAsia="zh-CN" w:bidi="ar-SA"/>
        </w:rPr>
        <w:t>指导教师对照教研任务清单，按照返岗教研综合评价表的要求对返岗教研成效进行考评，核定为“优秀、良好、及格、不及格”四个等级。返岗教研需要提交的材料交所在学院、部门和指导教师审定，由所在学院、部门和指导教师填写返岗教研综合评价表（附件）于2023年1月5日前由学员以扫描件（PDF文档或JPG图片）的形式（大小不超过10mb）在培训管理系统平台（https：//pxglxt. sicnu. edu. cn/）提交。未全部完成返岗教研任务者，均考核为“不及格"（在系统中，优秀、良好、及格为合格，不及格为不合格）。</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３.以上五项教研任务，参训教师和其指导老师务必按时保质保量完成（具体提交程序另行通知）。《2022年四川省高等学校新入职教师返岗教研综合评价表》由学员填写自评，指导老师填写评语、考核等级并签字、部门领导填写评语并签字，加盖人力资源处章，将评价表的扫描件于2022年1月5日前发给人力资源管理处罗立立审查合格后再提交到培训管理系统平台。</w:t>
      </w:r>
    </w:p>
    <w:p>
      <w:pPr>
        <w:pStyle w:val="7"/>
        <w:widowControl/>
        <w:spacing w:line="540" w:lineRule="atLeast"/>
        <w:ind w:left="0" w:firstLine="675"/>
        <w:rPr>
          <w:rFonts w:hint="default" w:ascii="宋体" w:hAnsi="宋体" w:eastAsia="宋体" w:cs="黑体"/>
          <w:color w:val="000000"/>
          <w:kern w:val="2"/>
          <w:sz w:val="28"/>
          <w:szCs w:val="28"/>
          <w:lang w:val="en-US" w:eastAsia="zh-CN" w:bidi="ar-SA"/>
        </w:rPr>
      </w:pPr>
      <w:r>
        <w:rPr>
          <w:rFonts w:hint="eastAsia" w:ascii="宋体" w:hAnsi="宋体" w:eastAsia="宋体" w:cs="黑体"/>
          <w:color w:val="000000"/>
          <w:kern w:val="2"/>
          <w:sz w:val="28"/>
          <w:szCs w:val="28"/>
          <w:lang w:val="en-US" w:eastAsia="zh-CN" w:bidi="ar-SA"/>
        </w:rPr>
        <w:t>备注：所有表格均双面打印。</w:t>
      </w:r>
    </w:p>
    <w:p>
      <w:pPr>
        <w:pStyle w:val="7"/>
        <w:widowControl/>
        <w:spacing w:line="540" w:lineRule="atLeast"/>
        <w:ind w:left="0" w:firstLine="675"/>
        <w:rPr>
          <w:rFonts w:hint="default" w:ascii="Arial" w:hAnsi="Arial" w:cs="Arial"/>
          <w:i w:val="0"/>
          <w:iCs w:val="0"/>
          <w:caps w:val="0"/>
          <w:color w:val="515151"/>
          <w:spacing w:val="0"/>
          <w:sz w:val="24"/>
          <w:szCs w:val="24"/>
        </w:rPr>
      </w:pPr>
      <w:r>
        <w:rPr>
          <w:rFonts w:hint="eastAsia" w:ascii="宋体" w:hAnsi="宋体" w:eastAsia="宋体" w:cs="黑体"/>
          <w:color w:val="000000"/>
          <w:kern w:val="2"/>
          <w:sz w:val="28"/>
          <w:szCs w:val="28"/>
          <w:lang w:val="en-US" w:eastAsia="zh-CN" w:bidi="ar-SA"/>
        </w:rPr>
        <w:t>附件：返岗教研综合评价表</w:t>
      </w:r>
    </w:p>
    <w:p>
      <w:pPr>
        <w:pStyle w:val="7"/>
        <w:widowControl/>
        <w:spacing w:line="540" w:lineRule="atLeast"/>
        <w:ind w:left="0" w:firstLine="675"/>
        <w:jc w:val="right"/>
        <w:rPr>
          <w:rFonts w:hint="default" w:ascii="宋体" w:hAnsi="宋体" w:eastAsia="宋体" w:cs="黑体"/>
          <w:color w:val="000000"/>
          <w:kern w:val="2"/>
          <w:sz w:val="28"/>
          <w:szCs w:val="28"/>
          <w:lang w:val="en-US" w:eastAsia="zh-CN" w:bidi="ar-SA"/>
        </w:rPr>
      </w:pPr>
      <w:r>
        <w:rPr>
          <w:rFonts w:hint="eastAsia" w:ascii="仿宋" w:hAnsi="仿宋" w:eastAsia="仿宋" w:cs="仿宋"/>
          <w:i w:val="0"/>
          <w:iCs w:val="0"/>
          <w:caps w:val="0"/>
          <w:color w:val="2D2D2D"/>
          <w:spacing w:val="0"/>
          <w:sz w:val="31"/>
          <w:szCs w:val="31"/>
          <w:shd w:val="clear" w:color="080000" w:fill="FFFFFF"/>
        </w:rPr>
        <w:t> </w:t>
      </w:r>
      <w:r>
        <w:rPr>
          <w:rFonts w:hint="eastAsia" w:ascii="宋体" w:hAnsi="宋体" w:eastAsia="宋体" w:cs="黑体"/>
          <w:color w:val="000000"/>
          <w:kern w:val="2"/>
          <w:sz w:val="28"/>
          <w:szCs w:val="28"/>
          <w:lang w:val="en-US" w:eastAsia="zh-CN" w:bidi="ar-SA"/>
        </w:rPr>
        <w:t xml:space="preserve">                         人力资源管理处</w:t>
      </w:r>
    </w:p>
    <w:p>
      <w:pPr>
        <w:pStyle w:val="7"/>
        <w:widowControl/>
        <w:spacing w:line="540" w:lineRule="atLeast"/>
        <w:ind w:left="0" w:firstLine="675"/>
        <w:jc w:val="right"/>
        <w:rPr>
          <w:rFonts w:ascii="宋体" w:hAnsi="宋体"/>
          <w:color w:val="000000"/>
          <w:sz w:val="28"/>
          <w:szCs w:val="28"/>
        </w:rPr>
      </w:pPr>
      <w:r>
        <w:rPr>
          <w:rFonts w:hint="eastAsia" w:ascii="宋体" w:hAnsi="宋体" w:eastAsia="宋体" w:cs="黑体"/>
          <w:color w:val="000000"/>
          <w:kern w:val="2"/>
          <w:sz w:val="28"/>
          <w:szCs w:val="28"/>
          <w:lang w:val="en-US" w:eastAsia="zh-CN" w:bidi="ar-SA"/>
        </w:rPr>
        <w:t>                         2022年</w:t>
      </w:r>
      <w:r>
        <w:rPr>
          <w:rFonts w:hint="eastAsia" w:cs="黑体"/>
          <w:color w:val="000000"/>
          <w:kern w:val="2"/>
          <w:sz w:val="28"/>
          <w:szCs w:val="28"/>
          <w:lang w:val="en-US" w:eastAsia="zh-CN" w:bidi="ar-SA"/>
        </w:rPr>
        <w:t>9</w:t>
      </w:r>
      <w:r>
        <w:rPr>
          <w:rFonts w:hint="eastAsia" w:ascii="宋体" w:hAnsi="宋体" w:eastAsia="宋体" w:cs="黑体"/>
          <w:color w:val="000000"/>
          <w:kern w:val="2"/>
          <w:sz w:val="28"/>
          <w:szCs w:val="28"/>
          <w:lang w:val="en-US" w:eastAsia="zh-CN" w:bidi="ar-SA"/>
        </w:rPr>
        <w:t>月</w:t>
      </w:r>
      <w:r>
        <w:rPr>
          <w:rFonts w:hint="eastAsia" w:cs="黑体"/>
          <w:color w:val="000000"/>
          <w:kern w:val="2"/>
          <w:sz w:val="28"/>
          <w:szCs w:val="28"/>
          <w:lang w:val="en-US" w:eastAsia="zh-CN" w:bidi="ar-SA"/>
        </w:rPr>
        <w:t>1</w:t>
      </w:r>
      <w:r>
        <w:rPr>
          <w:rFonts w:hint="eastAsia" w:ascii="宋体" w:hAnsi="宋体" w:eastAsia="宋体" w:cs="黑体"/>
          <w:color w:val="000000"/>
          <w:kern w:val="2"/>
          <w:sz w:val="28"/>
          <w:szCs w:val="28"/>
          <w:lang w:val="en-US" w:eastAsia="zh-CN" w:bidi="ar-SA"/>
        </w:rPr>
        <w:t>日</w:t>
      </w: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RmYTA4NzIyZWM1NDlkOTBlNjZhODBiODYwNmUxYW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0"/>
    <w:pPr>
      <w:keepNext/>
      <w:keepLines/>
      <w:ind w:firstLine="562" w:firstLineChars="200"/>
      <w:outlineLvl w:val="0"/>
    </w:pPr>
    <w:rPr>
      <w:rFonts w:eastAsia="黑体"/>
      <w:b/>
      <w:kern w:val="44"/>
      <w:sz w:val="32"/>
      <w:szCs w:val="24"/>
    </w:rPr>
  </w:style>
  <w:style w:type="paragraph" w:styleId="3">
    <w:name w:val="heading 2"/>
    <w:basedOn w:val="1"/>
    <w:next w:val="1"/>
    <w:link w:val="14"/>
    <w:unhideWhenUsed/>
    <w:qFormat/>
    <w:uiPriority w:val="0"/>
    <w:pPr>
      <w:keepNext/>
      <w:keepLines/>
      <w:ind w:firstLine="883" w:firstLineChars="200"/>
      <w:outlineLvl w:val="1"/>
    </w:pPr>
    <w:rPr>
      <w:rFonts w:ascii="Arial" w:hAnsi="Arial" w:eastAsia="楷体"/>
      <w:sz w:val="32"/>
      <w:szCs w:val="24"/>
    </w:rPr>
  </w:style>
  <w:style w:type="paragraph" w:styleId="4">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after="150"/>
      <w:jc w:val="left"/>
    </w:pPr>
    <w:rPr>
      <w:rFonts w:ascii="宋体" w:hAnsi="宋体" w:eastAsia="宋体" w:cs="宋体"/>
      <w:kern w:val="0"/>
      <w:sz w:val="24"/>
      <w:szCs w:val="24"/>
    </w:rPr>
  </w:style>
  <w:style w:type="paragraph" w:customStyle="1" w:styleId="9">
    <w:name w:val="List Paragraph"/>
    <w:basedOn w:val="1"/>
    <w:qFormat/>
    <w:uiPriority w:val="34"/>
    <w:pPr>
      <w:ind w:firstLine="420" w:firstLineChars="200"/>
    </w:pPr>
  </w:style>
  <w:style w:type="paragraph" w:customStyle="1" w:styleId="10">
    <w:name w:val="Body text|1"/>
    <w:basedOn w:val="1"/>
    <w:qFormat/>
    <w:uiPriority w:val="0"/>
    <w:pPr>
      <w:autoSpaceDE w:val="0"/>
      <w:autoSpaceDN w:val="0"/>
      <w:spacing w:line="350" w:lineRule="auto"/>
      <w:ind w:firstLine="400"/>
      <w:jc w:val="left"/>
    </w:pPr>
    <w:rPr>
      <w:rFonts w:ascii="宋体" w:hAnsi="宋体" w:eastAsia="宋体" w:cs="宋体"/>
      <w:kern w:val="0"/>
      <w:sz w:val="30"/>
      <w:szCs w:val="30"/>
      <w:lang w:val="zh-TW" w:eastAsia="zh-TW" w:bidi="zh-TW"/>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标题 1 Char"/>
    <w:basedOn w:val="8"/>
    <w:link w:val="2"/>
    <w:qFormat/>
    <w:uiPriority w:val="0"/>
    <w:rPr>
      <w:rFonts w:eastAsia="黑体"/>
      <w:b/>
      <w:kern w:val="44"/>
      <w:sz w:val="32"/>
      <w:szCs w:val="24"/>
    </w:rPr>
  </w:style>
  <w:style w:type="character" w:customStyle="1" w:styleId="14">
    <w:name w:val="标题 2 Char"/>
    <w:basedOn w:val="8"/>
    <w:link w:val="3"/>
    <w:qFormat/>
    <w:uiPriority w:val="0"/>
    <w:rPr>
      <w:rFonts w:ascii="Arial" w:hAnsi="Arial" w:eastAsia="楷体"/>
      <w:sz w:val="32"/>
      <w:szCs w:val="24"/>
    </w:rPr>
  </w:style>
  <w:style w:type="character" w:customStyle="1" w:styleId="15">
    <w:name w:val="标题 3 Char"/>
    <w:basedOn w:val="8"/>
    <w:link w:val="4"/>
    <w:semiHidden/>
    <w:qFormat/>
    <w:uiPriority w:val="9"/>
    <w:rPr>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1347</Words>
  <Characters>1418</Characters>
  <Lines>4</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2022-02-24T02:31:00Z</dcterms:created>
  <dc:creator>周淼</dc:creator>
  <cp:lastModifiedBy>温婷婷</cp:lastModifiedBy>
  <cp:lastPrinted>2022-03-17T06:52:00Z</cp:lastPrinted>
  <dcterms:modified xsi:type="dcterms:W3CDTF">2022-09-01T01:35:14Z</dcterms:modified>
  <dc:title>西南财经大学天府学院文件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07144CD891BC47A8BCBEA1D389505466</vt:lpwstr>
  </property>
</Properties>
</file>