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058"/>
        <w:gridCol w:w="822"/>
        <w:gridCol w:w="5132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序号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评分因素</w:t>
            </w:r>
          </w:p>
          <w:p>
            <w:pPr>
              <w:ind w:firstLine="28"/>
              <w:jc w:val="center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及权重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分值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/>
                <w:sz w:val="21"/>
                <w:szCs w:val="21"/>
              </w:rPr>
              <w:t>评分标准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pStyle w:val="5"/>
              <w:spacing w:before="0" w:after="0" w:line="240" w:lineRule="auto"/>
              <w:rPr>
                <w:rFonts w:hint="eastAsia" w:ascii="方正仿宋_GBK" w:hAnsi="宋体" w:eastAsia="方正仿宋_GBK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sz w:val="21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1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投标报价</w:t>
            </w:r>
          </w:p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（30%）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ind w:firstLine="28"/>
              <w:jc w:val="center"/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30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有效的投标报价中的最低价为评标基准价，其价格分为满分。其他投标人的价格分统一按照下列公式计算：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投标报价得分＝（评标基准价/投标报价）×价格权重×100。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ind w:left="-38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vMerge w:val="restart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技术部分</w:t>
            </w:r>
          </w:p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%）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ind w:firstLine="28"/>
              <w:jc w:val="center"/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技术参数响应（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）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1.起评分：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有效投标人的起评分为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2.扣分条款：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2.1投标文件投标应答有一条不满足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招标文件重要技术需求的（本招标文件第二篇中带“★”号标注的部分），从起评分中扣除5分，扣完为止。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2.2投标文件投标应答有一条不满足招标文件一般性技术需求的（本招标文件第二篇中“★”标注的部分除外），从起评分中扣除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分，扣完为止。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实施方案（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）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根据投标人提供的实施方案（包括但不限于质量保障措施、项目实施进度计划、各阶段进度的保证措施、安装调试方案、验收方案等）进行评审。共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分。</w:t>
            </w:r>
          </w:p>
          <w:p>
            <w:pP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  <w:t>1）实施方案可行性强、方案证措施完善、针对性强的可得</w:t>
            </w: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  <w:t>2）实施方案可行性一般、方案措施基本完善，有一定的针对性的可得</w:t>
            </w: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  <w:t>3）实施方案可行性较差、方案措施较差，针对性较差的得1分；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bCs/>
                <w:color w:val="auto"/>
                <w:sz w:val="21"/>
                <w:szCs w:val="21"/>
              </w:rPr>
              <w:t>4）实施方案可行性差、方案措施差，针对性差的得0分；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售后服务方案（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）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根据投标人提供的售后服务方案，包括：售后服务承、交货计划、响应时间、培训计划、系统维保、完善的售后机构和人员配置等进行评审。共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1）售后服务实施方案可行性强、承诺及保证措施完善、针对性强的可得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2）售后服务实施方案可行性一般、承诺及保证措施基本完善，有一定的针对性的可得3分；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3）售后服务实施方案可行性较差、承诺及保证措施较差，针对性较差的得1分；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4）售后服务实施方案可行性差、承诺及保证措施差，针对性差的得0分；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ind w:firstLine="28"/>
              <w:jc w:val="center"/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产品资质（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8）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.计算机化的认知行为治疗提供治疗主题作品著作权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有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个得1分，最多得3分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提供单位使用该产品的合同及验收单复印件，有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个得1分，最多得3分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以上两项累计最多得6分。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.互动投影需提供国家版权保护中心审核的计算机软件登记证书，得1分，没有不得分。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.脑电反馈放松系统（体感音乐沙发版）需提供脑电反馈放松系统软件著作权得1分，没有不得分。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复印件并加盖投标人公章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0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投标人的应答应满足招标文件“第三篇 项目商务要求”，有一条不满足的（第三篇中“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★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”号标注的部分除外），商务部分得分为0分，不再进入商务部分的评审。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89" w:type="dxa"/>
            <w:vMerge w:val="restart"/>
            <w:noWrap w:val="0"/>
            <w:vAlign w:val="center"/>
          </w:tcPr>
          <w:p>
            <w:pPr>
              <w:ind w:firstLine="28"/>
              <w:jc w:val="center"/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3</w:t>
            </w:r>
          </w:p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restart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商务部分</w:t>
            </w:r>
          </w:p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%）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ind w:firstLine="28"/>
              <w:jc w:val="center"/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</w:p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1、投标人具有高新技术企业证书，得1分。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2、投标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具备软件企业认证证书，得1分。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3. 投标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获得企业质量管理体系ISO9001:2015认证、环境管理体系ISO14001:2015认证、职业健康安全管理体系认证证书且在有效期的得1分。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ind w:left="-38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提供复印件并加盖投标人公章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89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center"/>
          </w:tcPr>
          <w:p>
            <w:pPr>
              <w:ind w:firstLine="28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5132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投标人提供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年1月1日以来类似业绩的每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个得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分，最多得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分。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ind w:left="-38"/>
              <w:rPr>
                <w:rFonts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提供合同复印件或中标（成交）通知书复印件并加盖投标人公章。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4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政策性加分</w:t>
            </w:r>
          </w:p>
          <w:p>
            <w:pPr>
              <w:jc w:val="center"/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%）（5）</w:t>
            </w:r>
          </w:p>
        </w:tc>
        <w:tc>
          <w:tcPr>
            <w:tcW w:w="664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1.投标产品属于《财政部 发展改革委关于印发节能产品政府采购品目清单的通知》（财库〔2019〕19号）范围内的节能产品，且“节能产品政府采购品目清单”中未标注“★”的，有一款得0.5分，最多得2分（清单中以“★”标注为政府强制采购的节能产品）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说明：提供所投产品列入《财政部 发展改革委关于印发节能产品政府采购品目清单的通知》（财库〔2019〕19号）中“节能产品政府采购品目清单”所在页面打印件，及国家确定的认证机构出具的、处于有效期之内的节能产品认证证书复印件。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2.投标产品属于《财政部 生态环境部关于印发环境标志产品政府采购品目清单的通知》（财库〔2019〕18号）范围内的环境标志产品的，有一款得0.5分，最多得2分。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说明：提供所投产品列入《财政部 生态环境部关于印发环境标志产品政府采购品目清单的通知》（财库〔2019〕18号）中“环境标志产品政府采购品目清单”所在页面打印件，及国家确定的认证机构出具的、处于有效期之内的环境标志产品认证证书复印件。</w:t>
            </w:r>
          </w:p>
          <w:p>
            <w:pP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宋体" w:eastAsia="方正仿宋_GBK"/>
                <w:color w:val="auto"/>
                <w:sz w:val="21"/>
                <w:szCs w:val="21"/>
              </w:rPr>
              <w:t>3.所投包的所有投标产品的原产地在西部地区的，得1分。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TA1NjQyNjk3OWRiZmY4Y2M5ZjdmNWRmMjgyMWIifQ=="/>
  </w:docVars>
  <w:rsids>
    <w:rsidRoot w:val="00000000"/>
    <w:rsid w:val="02987B74"/>
    <w:rsid w:val="037B54CB"/>
    <w:rsid w:val="06530982"/>
    <w:rsid w:val="0F742064"/>
    <w:rsid w:val="120D40DA"/>
    <w:rsid w:val="12274A70"/>
    <w:rsid w:val="195E16BF"/>
    <w:rsid w:val="19D21766"/>
    <w:rsid w:val="27070CA1"/>
    <w:rsid w:val="2BF37A45"/>
    <w:rsid w:val="33971F44"/>
    <w:rsid w:val="366F23BE"/>
    <w:rsid w:val="3C1934F8"/>
    <w:rsid w:val="3EF5367D"/>
    <w:rsid w:val="415C63F1"/>
    <w:rsid w:val="43327B44"/>
    <w:rsid w:val="43B6162D"/>
    <w:rsid w:val="4900334A"/>
    <w:rsid w:val="5531145B"/>
    <w:rsid w:val="59D625D1"/>
    <w:rsid w:val="5B1D2796"/>
    <w:rsid w:val="5B865931"/>
    <w:rsid w:val="60082DB8"/>
    <w:rsid w:val="62816E52"/>
    <w:rsid w:val="6578453C"/>
    <w:rsid w:val="66DE0D17"/>
    <w:rsid w:val="68725BBA"/>
    <w:rsid w:val="6F2B261F"/>
    <w:rsid w:val="788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customStyle="1" w:styleId="5">
    <w:name w:val="图例"/>
    <w:basedOn w:val="1"/>
    <w:qFormat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1555</Words>
  <Characters>1629</Characters>
  <Lines>0</Lines>
  <Paragraphs>0</Paragraphs>
  <TotalTime>10</TotalTime>
  <ScaleCrop>false</ScaleCrop>
  <LinksUpToDate>false</LinksUpToDate>
  <CharactersWithSpaces>1635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2024-07-11T08:49:00Z</dcterms:created>
  <dc:creator>13496</dc:creator>
  <cp:lastModifiedBy>SZG-CX</cp:lastModifiedBy>
  <dcterms:modified xsi:type="dcterms:W3CDTF">2024-07-15T03:20:07Z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C5564786871C411A914E097BC0C24BA1_13</vt:lpwstr>
  </property>
</Properties>
</file>